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734D" w14:textId="196444A9" w:rsidR="00D6007C" w:rsidRPr="00D6007C" w:rsidRDefault="00D6007C" w:rsidP="00D6007C">
      <w:pPr>
        <w:jc w:val="center"/>
        <w:rPr>
          <w:b/>
          <w:bCs/>
        </w:rPr>
      </w:pPr>
      <w:r w:rsidRPr="00D6007C">
        <w:rPr>
          <w:b/>
          <w:bCs/>
        </w:rPr>
        <w:t>ĐĂNG KÝ KIỂM TRA KIẾN THỨC PHÁP LUẬT VỀ TRẬT TỰ, AN TOÀN GIAO THÔNG ĐƯỜNG BỘ ĐỂ ĐƯỢC PHỤC HỒI ĐIỂM GIẤY PHÉP LÁI XE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407"/>
      </w:tblGrid>
      <w:tr w:rsidR="00D6007C" w:rsidRPr="00172388" w14:paraId="2AA3532E" w14:textId="77777777" w:rsidTr="00DD1E7E">
        <w:tc>
          <w:tcPr>
            <w:tcW w:w="675" w:type="dxa"/>
            <w:vMerge w:val="restart"/>
            <w:vAlign w:val="center"/>
          </w:tcPr>
          <w:p w14:paraId="0E4C63EF" w14:textId="77777777" w:rsidR="00D6007C" w:rsidRPr="00172388" w:rsidRDefault="00D6007C" w:rsidP="00DD1E7E">
            <w:pPr>
              <w:jc w:val="center"/>
              <w:rPr>
                <w:rFonts w:cs="Times New Roman"/>
                <w:b/>
                <w:szCs w:val="28"/>
              </w:rPr>
            </w:pPr>
            <w:r w:rsidRPr="00172388">
              <w:rPr>
                <w:rFonts w:cs="Times New Roman"/>
                <w:b/>
                <w:szCs w:val="28"/>
              </w:rPr>
              <w:t>1</w:t>
            </w:r>
          </w:p>
        </w:tc>
        <w:tc>
          <w:tcPr>
            <w:tcW w:w="9236" w:type="dxa"/>
          </w:tcPr>
          <w:p w14:paraId="23A2765B" w14:textId="77777777" w:rsidR="00D6007C" w:rsidRPr="00172388" w:rsidRDefault="00D6007C" w:rsidP="00DD1E7E">
            <w:pPr>
              <w:rPr>
                <w:rFonts w:cs="Times New Roman"/>
                <w:b/>
                <w:szCs w:val="28"/>
              </w:rPr>
            </w:pPr>
            <w:r w:rsidRPr="00172388">
              <w:rPr>
                <w:rFonts w:cs="Times New Roman"/>
                <w:b/>
                <w:bCs/>
                <w:iCs/>
                <w:szCs w:val="28"/>
              </w:rPr>
              <w:t>Trình tự thực hiện</w:t>
            </w:r>
          </w:p>
        </w:tc>
      </w:tr>
      <w:tr w:rsidR="00D6007C" w:rsidRPr="00172388" w14:paraId="58150931" w14:textId="77777777" w:rsidTr="00DD1E7E">
        <w:tc>
          <w:tcPr>
            <w:tcW w:w="675" w:type="dxa"/>
            <w:vMerge/>
            <w:vAlign w:val="center"/>
          </w:tcPr>
          <w:p w14:paraId="56BAE88C" w14:textId="77777777" w:rsidR="00D6007C" w:rsidRPr="00172388" w:rsidRDefault="00D6007C" w:rsidP="00DD1E7E">
            <w:pPr>
              <w:jc w:val="center"/>
              <w:rPr>
                <w:rFonts w:cs="Times New Roman"/>
                <w:b/>
                <w:szCs w:val="28"/>
              </w:rPr>
            </w:pPr>
          </w:p>
        </w:tc>
        <w:tc>
          <w:tcPr>
            <w:tcW w:w="9236" w:type="dxa"/>
          </w:tcPr>
          <w:p w14:paraId="078FC07D" w14:textId="42E8F768"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b/>
                <w:bCs/>
                <w:i/>
                <w:iCs/>
                <w:szCs w:val="28"/>
                <w:lang w:eastAsia="vi-VN"/>
              </w:rPr>
              <w:t>Bước 1:</w:t>
            </w:r>
            <w:r w:rsidRPr="00D6007C">
              <w:rPr>
                <w:rFonts w:cs="Times New Roman"/>
                <w:szCs w:val="28"/>
                <w:lang w:eastAsia="vi-VN"/>
              </w:rPr>
              <w:t xml:space="preserve"> Người đăng ký kiểm tra kiến thức pháp luật về trật tự, an toàn giao thông đường bộ để phục hồi điểm giấy phép lái xe chuẩn bị hồ sơ theo quy định của pháp luật.</w:t>
            </w:r>
          </w:p>
          <w:p w14:paraId="30D82FB6" w14:textId="7D8583F0"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b/>
                <w:bCs/>
                <w:i/>
                <w:iCs/>
                <w:szCs w:val="28"/>
                <w:lang w:eastAsia="vi-VN"/>
              </w:rPr>
              <w:t>Bước 2:</w:t>
            </w:r>
            <w:r w:rsidRPr="00D6007C">
              <w:rPr>
                <w:rFonts w:cs="Times New Roman"/>
                <w:szCs w:val="28"/>
                <w:lang w:eastAsia="vi-VN"/>
              </w:rPr>
              <w:t xml:space="preserve"> Người đăng ký kiểm tra kiến thức pháp luật về trật tự, an toàn giao thông đường bộ nộp hồ sơ trên Cổng dịch vụ công quốc gia, Cổng dịch vụ công Bộ Công an, Ứng dụng định danh quốc gia; nộp trực tiếp hoặc nộp qua dịch vụ bưu chính về Cục Cảnh sát giao thông, Bộ Công an hoặc Phòng Cảnh sát giao thông Công an tỉnh, thành phố trực thuộc Trung ương.</w:t>
            </w:r>
          </w:p>
          <w:p w14:paraId="70AB2AB6" w14:textId="77777777"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szCs w:val="28"/>
                <w:lang w:eastAsia="vi-VN"/>
              </w:rPr>
              <w:t>* Lưu ý:</w:t>
            </w:r>
          </w:p>
          <w:p w14:paraId="719280E6" w14:textId="77777777"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szCs w:val="28"/>
                <w:lang w:eastAsia="vi-VN"/>
              </w:rPr>
              <w:t>Trường hợp nộp hồ sơ trực tuyến, người đăng ký kiểm tra đăng ký ngày kiểm tra, lựa chọn cơ quan có thẩm quyền kiểm tra (Cục Cảnh sát giao thông, Bộ Công an hoặc Phòng Cảnh sát giao thông Công an tỉnh, thành phố trực thuộc Trung ương).</w:t>
            </w:r>
          </w:p>
          <w:p w14:paraId="1C67F044" w14:textId="1D9E9E21"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b/>
                <w:bCs/>
                <w:i/>
                <w:iCs/>
                <w:szCs w:val="28"/>
                <w:lang w:eastAsia="vi-VN"/>
              </w:rPr>
              <w:t>Bước 3:</w:t>
            </w:r>
            <w:r w:rsidRPr="00D6007C">
              <w:rPr>
                <w:rFonts w:cs="Times New Roman"/>
                <w:szCs w:val="28"/>
                <w:lang w:eastAsia="vi-VN"/>
              </w:rPr>
              <w:t xml:space="preserve"> Khi tiếp nhận hồ sơ, cơ quan có thẩm quyền kiểm tra tính pháp lý, nội dung hồ sơ.</w:t>
            </w:r>
          </w:p>
          <w:p w14:paraId="5A792C28" w14:textId="77777777"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szCs w:val="28"/>
                <w:lang w:eastAsia="vi-VN"/>
              </w:rPr>
              <w:t>Cổng dịch vụ công hoặc Ứng dụng định danh quốc gia xác nhận nộp hồ sơ thành công, sinh mã dịch vụ công và gửi hồ sơ về Hệ thống quản lý công tác kiểm tra kiến thức pháp luật về trật tự, an toàn giao thông đường bộ. Cán bộ thực hiện nhiệm vụ tiếp nhận hồ sơ kiểm tra kiến thức pháp luật kiểm tra các thông tin, dữ liệu của hồ sơ, xác nhận hồ sơ hợp lệ và gửi thông báo lại cho cổng dịch vụ công.</w:t>
            </w:r>
          </w:p>
          <w:p w14:paraId="759FD0FF" w14:textId="77777777"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szCs w:val="28"/>
                <w:lang w:eastAsia="vi-VN"/>
              </w:rPr>
              <w:t>Trường hợp nộp hồ sơ trực tiếp, cán bộ tiếp nhận kiểm tra hồ sơ.</w:t>
            </w:r>
          </w:p>
          <w:p w14:paraId="0F21B802" w14:textId="4E85F6C5"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b/>
                <w:bCs/>
                <w:i/>
                <w:iCs/>
                <w:szCs w:val="28"/>
                <w:lang w:eastAsia="vi-VN"/>
              </w:rPr>
              <w:t>Bước 4:</w:t>
            </w:r>
            <w:r w:rsidRPr="00D6007C">
              <w:rPr>
                <w:rFonts w:cs="Times New Roman"/>
                <w:szCs w:val="28"/>
                <w:lang w:eastAsia="vi-VN"/>
              </w:rPr>
              <w:t xml:space="preserve"> Cổng dịch vụ công hoặc Ứng dụng định danh quốc gia thông báo qua tin nhắn điện thoại, địa chỉ thư điện tử hoặc thông báo trên Ứng dụng định danh quốc gia (sau đây gọi tắt là thông báo) cho người đăng ký kiểm tra biết về thời gian, địa điểm kiểm tra.</w:t>
            </w:r>
          </w:p>
          <w:p w14:paraId="1B9CD176" w14:textId="77777777"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szCs w:val="28"/>
                <w:lang w:eastAsia="vi-VN"/>
              </w:rPr>
              <w:t>Trường hợp nộp hồ sơ trực tiếp, cán bộ tiếp nhận kiểm tra hồ sơ, viết giấy hẹn ghi rõ thời gian, địa điểm tổ chức kiểm tra.</w:t>
            </w:r>
          </w:p>
          <w:p w14:paraId="6A1C6033" w14:textId="77777777" w:rsidR="00D6007C" w:rsidRPr="00D6007C" w:rsidRDefault="00D6007C" w:rsidP="00D6007C">
            <w:pPr>
              <w:widowControl w:val="0"/>
              <w:spacing w:before="120" w:line="300" w:lineRule="atLeast"/>
              <w:ind w:firstLine="514"/>
              <w:textAlignment w:val="baseline"/>
              <w:rPr>
                <w:rFonts w:cs="Times New Roman"/>
                <w:szCs w:val="28"/>
                <w:lang w:eastAsia="vi-VN"/>
              </w:rPr>
            </w:pPr>
            <w:r w:rsidRPr="00D6007C">
              <w:rPr>
                <w:rFonts w:cs="Times New Roman"/>
                <w:szCs w:val="28"/>
                <w:lang w:eastAsia="vi-VN"/>
              </w:rPr>
              <w:t>* Lưu ý:</w:t>
            </w:r>
          </w:p>
          <w:p w14:paraId="0BC678CD" w14:textId="01D1C128" w:rsidR="00D6007C" w:rsidRPr="00172388" w:rsidRDefault="00D6007C" w:rsidP="00D6007C">
            <w:pPr>
              <w:widowControl w:val="0"/>
              <w:spacing w:before="120" w:line="300" w:lineRule="atLeast"/>
              <w:ind w:firstLine="514"/>
              <w:textAlignment w:val="baseline"/>
              <w:rPr>
                <w:rFonts w:cs="Times New Roman"/>
                <w:b/>
                <w:bCs/>
                <w:i/>
                <w:iCs/>
                <w:szCs w:val="28"/>
                <w:lang w:val="en-US" w:eastAsia="vi-VN"/>
              </w:rPr>
            </w:pPr>
            <w:r w:rsidRPr="00D6007C">
              <w:rPr>
                <w:rFonts w:cs="Times New Roman"/>
                <w:szCs w:val="28"/>
                <w:lang w:eastAsia="vi-VN"/>
              </w:rPr>
              <w:t xml:space="preserve">Người có kết quả kiểm tra không đạt yêu cầu có thể đăng ký kiểm tra lại tại cơ quan có thẩm quyền đã tổ chức kiểm tra trước đó hoặc lựa chọn cơ quan có thẩm quyền kiểm tra để đề nghị kiểm tra lại. Trường hợp đề nghị kiểm tra lại, nếu giấy khám sức khỏe còn giá trị sử dụng thì người </w:t>
            </w:r>
            <w:r w:rsidRPr="00D6007C">
              <w:rPr>
                <w:rFonts w:cs="Times New Roman"/>
                <w:szCs w:val="28"/>
                <w:lang w:eastAsia="vi-VN"/>
              </w:rPr>
              <w:lastRenderedPageBreak/>
              <w:t>đăng ký kiểm tra chỉ gửi đơn đề nghị kiểm tra.</w:t>
            </w:r>
          </w:p>
        </w:tc>
      </w:tr>
      <w:tr w:rsidR="00D6007C" w:rsidRPr="00172388" w14:paraId="05D3158B" w14:textId="77777777" w:rsidTr="00DD1E7E">
        <w:tc>
          <w:tcPr>
            <w:tcW w:w="675" w:type="dxa"/>
            <w:vMerge w:val="restart"/>
            <w:vAlign w:val="center"/>
          </w:tcPr>
          <w:p w14:paraId="3A0E89E6" w14:textId="77777777" w:rsidR="00D6007C" w:rsidRPr="00172388" w:rsidRDefault="00D6007C" w:rsidP="00DD1E7E">
            <w:pPr>
              <w:jc w:val="center"/>
              <w:rPr>
                <w:rFonts w:cs="Times New Roman"/>
                <w:b/>
                <w:szCs w:val="28"/>
              </w:rPr>
            </w:pPr>
            <w:r w:rsidRPr="00172388">
              <w:rPr>
                <w:rFonts w:cs="Times New Roman"/>
                <w:b/>
                <w:szCs w:val="28"/>
              </w:rPr>
              <w:lastRenderedPageBreak/>
              <w:t>2</w:t>
            </w:r>
          </w:p>
        </w:tc>
        <w:tc>
          <w:tcPr>
            <w:tcW w:w="9236" w:type="dxa"/>
          </w:tcPr>
          <w:p w14:paraId="5ACD0203" w14:textId="77777777" w:rsidR="00D6007C" w:rsidRPr="00172388" w:rsidRDefault="00D6007C" w:rsidP="00DD1E7E">
            <w:pPr>
              <w:spacing w:line="360" w:lineRule="exact"/>
              <w:ind w:firstLine="459"/>
              <w:rPr>
                <w:rFonts w:cs="Times New Roman"/>
                <w:b/>
                <w:szCs w:val="28"/>
              </w:rPr>
            </w:pPr>
            <w:r w:rsidRPr="00172388">
              <w:rPr>
                <w:rFonts w:cs="Times New Roman"/>
                <w:b/>
                <w:bCs/>
                <w:iCs/>
                <w:szCs w:val="28"/>
              </w:rPr>
              <w:t>Cách thức thực hiện</w:t>
            </w:r>
          </w:p>
        </w:tc>
      </w:tr>
      <w:tr w:rsidR="00D6007C" w:rsidRPr="00172388" w14:paraId="04791E1A" w14:textId="77777777" w:rsidTr="00DD1E7E">
        <w:tc>
          <w:tcPr>
            <w:tcW w:w="675" w:type="dxa"/>
            <w:vMerge/>
            <w:vAlign w:val="center"/>
          </w:tcPr>
          <w:p w14:paraId="0DEE30EB" w14:textId="77777777" w:rsidR="00D6007C" w:rsidRPr="00172388" w:rsidRDefault="00D6007C" w:rsidP="00DD1E7E">
            <w:pPr>
              <w:jc w:val="center"/>
              <w:rPr>
                <w:rFonts w:cs="Times New Roman"/>
                <w:b/>
                <w:szCs w:val="28"/>
              </w:rPr>
            </w:pPr>
          </w:p>
        </w:tc>
        <w:tc>
          <w:tcPr>
            <w:tcW w:w="9236" w:type="dxa"/>
          </w:tcPr>
          <w:p w14:paraId="2AB3DF46" w14:textId="567D669D" w:rsidR="00D6007C" w:rsidRPr="00D6007C" w:rsidRDefault="00D6007C" w:rsidP="00D6007C">
            <w:pPr>
              <w:widowControl w:val="0"/>
              <w:spacing w:before="120" w:line="300" w:lineRule="atLeast"/>
              <w:ind w:firstLine="459"/>
              <w:textAlignment w:val="baseline"/>
              <w:rPr>
                <w:rFonts w:cs="Times New Roman"/>
                <w:szCs w:val="28"/>
                <w:bdr w:val="none" w:sz="0" w:space="0" w:color="auto" w:frame="1"/>
                <w:lang w:eastAsia="vi-VN"/>
              </w:rPr>
            </w:pPr>
            <w:r w:rsidRPr="00D6007C">
              <w:rPr>
                <w:rFonts w:cs="Times New Roman"/>
                <w:szCs w:val="28"/>
                <w:bdr w:val="none" w:sz="0" w:space="0" w:color="auto" w:frame="1"/>
                <w:lang w:eastAsia="vi-VN"/>
              </w:rPr>
              <w:t>- Nộp hồ sơ trực tiếp hoặc qua dịch vụ bưu chính đến Phòng Cảnh sát giao thông Công an tỉnh</w:t>
            </w:r>
            <w:r w:rsidRPr="00172388">
              <w:rPr>
                <w:rFonts w:cs="Times New Roman"/>
                <w:szCs w:val="28"/>
                <w:bdr w:val="none" w:sz="0" w:space="0" w:color="auto" w:frame="1"/>
                <w:lang w:val="en-US" w:eastAsia="vi-VN"/>
              </w:rPr>
              <w:t xml:space="preserve"> Khánh Hò</w:t>
            </w:r>
            <w:r w:rsidRPr="00D6007C">
              <w:rPr>
                <w:rFonts w:cs="Times New Roman"/>
                <w:szCs w:val="28"/>
                <w:bdr w:val="none" w:sz="0" w:space="0" w:color="auto" w:frame="1"/>
                <w:lang w:eastAsia="vi-VN"/>
              </w:rPr>
              <w:t>.</w:t>
            </w:r>
          </w:p>
          <w:p w14:paraId="51893ACC" w14:textId="77777777" w:rsidR="00D6007C" w:rsidRPr="00D6007C" w:rsidRDefault="00D6007C" w:rsidP="00D6007C">
            <w:pPr>
              <w:widowControl w:val="0"/>
              <w:spacing w:before="120" w:line="300" w:lineRule="atLeast"/>
              <w:ind w:firstLine="459"/>
              <w:textAlignment w:val="baseline"/>
              <w:rPr>
                <w:rFonts w:cs="Times New Roman"/>
                <w:szCs w:val="28"/>
                <w:bdr w:val="none" w:sz="0" w:space="0" w:color="auto" w:frame="1"/>
                <w:lang w:eastAsia="vi-VN"/>
              </w:rPr>
            </w:pPr>
            <w:r w:rsidRPr="00D6007C">
              <w:rPr>
                <w:rFonts w:cs="Times New Roman"/>
                <w:szCs w:val="28"/>
                <w:bdr w:val="none" w:sz="0" w:space="0" w:color="auto" w:frame="1"/>
                <w:lang w:eastAsia="vi-VN"/>
              </w:rPr>
              <w:t>- Nộp hồ sơ trên Cổng dịch vụ công quốc gia, Cổng dịch vụ công Bộ Công an, Ứng dụng định danh quốc gia.</w:t>
            </w:r>
          </w:p>
          <w:p w14:paraId="18A1910F" w14:textId="77777777" w:rsidR="00D6007C" w:rsidRPr="00D6007C" w:rsidRDefault="00D6007C" w:rsidP="00D6007C">
            <w:pPr>
              <w:widowControl w:val="0"/>
              <w:spacing w:before="120" w:line="300" w:lineRule="atLeast"/>
              <w:ind w:firstLine="459"/>
              <w:textAlignment w:val="baseline"/>
              <w:rPr>
                <w:rFonts w:cs="Times New Roman"/>
                <w:szCs w:val="28"/>
                <w:bdr w:val="none" w:sz="0" w:space="0" w:color="auto" w:frame="1"/>
                <w:lang w:eastAsia="vi-VN"/>
              </w:rPr>
            </w:pPr>
            <w:r w:rsidRPr="00D6007C">
              <w:rPr>
                <w:rFonts w:cs="Times New Roman"/>
                <w:szCs w:val="28"/>
                <w:bdr w:val="none" w:sz="0" w:space="0" w:color="auto" w:frame="1"/>
                <w:lang w:eastAsia="vi-VN"/>
              </w:rPr>
              <w:t>Cơ quan có thẩm quyền kiểm tra tiếp nhận hồ sơ trong giờ hành chính các ngày làm việc.</w:t>
            </w:r>
          </w:p>
          <w:p w14:paraId="7AAAC5F4" w14:textId="4582F175" w:rsidR="00D6007C" w:rsidRPr="00172388" w:rsidRDefault="00D6007C" w:rsidP="00D6007C">
            <w:pPr>
              <w:widowControl w:val="0"/>
              <w:spacing w:before="120" w:line="300" w:lineRule="atLeast"/>
              <w:ind w:firstLine="459"/>
              <w:textAlignment w:val="baseline"/>
              <w:rPr>
                <w:rFonts w:cs="Times New Roman"/>
                <w:szCs w:val="28"/>
                <w:bdr w:val="none" w:sz="0" w:space="0" w:color="auto" w:frame="1"/>
                <w:lang w:val="en-US" w:eastAsia="vi-VN"/>
              </w:rPr>
            </w:pPr>
            <w:r w:rsidRPr="00D6007C">
              <w:rPr>
                <w:rFonts w:cs="Times New Roman"/>
                <w:szCs w:val="28"/>
                <w:bdr w:val="none" w:sz="0" w:space="0" w:color="auto" w:frame="1"/>
                <w:lang w:eastAsia="vi-VN"/>
              </w:rPr>
              <w:t>Cơ quan có thẩm quyền kiểm tra hồ sơ và thông báo thời gian, địa điểm kiểm tra qua tin nhắn điện thoại hoặc địa chỉ thư điện tử trong đơn đề nghị của người đăng ký kiểm tra.</w:t>
            </w:r>
          </w:p>
        </w:tc>
      </w:tr>
      <w:tr w:rsidR="00D6007C" w:rsidRPr="00172388" w14:paraId="5D626492" w14:textId="77777777" w:rsidTr="00DD1E7E">
        <w:tc>
          <w:tcPr>
            <w:tcW w:w="675" w:type="dxa"/>
            <w:vMerge w:val="restart"/>
            <w:vAlign w:val="center"/>
          </w:tcPr>
          <w:p w14:paraId="358473AF" w14:textId="77777777" w:rsidR="00D6007C" w:rsidRPr="00172388" w:rsidRDefault="00D6007C" w:rsidP="00DD1E7E">
            <w:pPr>
              <w:jc w:val="center"/>
              <w:rPr>
                <w:rFonts w:cs="Times New Roman"/>
                <w:b/>
                <w:szCs w:val="28"/>
              </w:rPr>
            </w:pPr>
            <w:r w:rsidRPr="00172388">
              <w:rPr>
                <w:rFonts w:cs="Times New Roman"/>
                <w:b/>
                <w:szCs w:val="28"/>
              </w:rPr>
              <w:t>3</w:t>
            </w:r>
          </w:p>
        </w:tc>
        <w:tc>
          <w:tcPr>
            <w:tcW w:w="9236" w:type="dxa"/>
          </w:tcPr>
          <w:p w14:paraId="3556C8CE" w14:textId="77777777" w:rsidR="00D6007C" w:rsidRPr="00172388" w:rsidRDefault="00D6007C" w:rsidP="00DD1E7E">
            <w:pPr>
              <w:ind w:firstLine="459"/>
              <w:rPr>
                <w:rFonts w:cs="Times New Roman"/>
                <w:b/>
                <w:szCs w:val="28"/>
              </w:rPr>
            </w:pPr>
            <w:r w:rsidRPr="00172388">
              <w:rPr>
                <w:rFonts w:cs="Times New Roman"/>
                <w:b/>
                <w:bCs/>
                <w:iCs/>
                <w:szCs w:val="28"/>
              </w:rPr>
              <w:t>Thành phần hồ sơ</w:t>
            </w:r>
          </w:p>
        </w:tc>
      </w:tr>
      <w:tr w:rsidR="00D6007C" w:rsidRPr="00172388" w14:paraId="6F56961F" w14:textId="77777777" w:rsidTr="00DD1E7E">
        <w:trPr>
          <w:trHeight w:val="418"/>
        </w:trPr>
        <w:tc>
          <w:tcPr>
            <w:tcW w:w="675" w:type="dxa"/>
            <w:vMerge/>
            <w:vAlign w:val="center"/>
          </w:tcPr>
          <w:p w14:paraId="22B917CC" w14:textId="77777777" w:rsidR="00D6007C" w:rsidRPr="00172388" w:rsidRDefault="00D6007C" w:rsidP="00DD1E7E">
            <w:pPr>
              <w:jc w:val="center"/>
              <w:rPr>
                <w:rFonts w:cs="Times New Roman"/>
                <w:b/>
                <w:szCs w:val="28"/>
              </w:rPr>
            </w:pPr>
          </w:p>
        </w:tc>
        <w:tc>
          <w:tcPr>
            <w:tcW w:w="9236" w:type="dxa"/>
          </w:tcPr>
          <w:p w14:paraId="14E94C8B" w14:textId="6BC01686" w:rsidR="00D6007C" w:rsidRPr="00D6007C" w:rsidRDefault="00D6007C" w:rsidP="00D6007C">
            <w:pPr>
              <w:widowControl w:val="0"/>
              <w:spacing w:before="120" w:line="360" w:lineRule="atLeast"/>
              <w:ind w:firstLine="459"/>
              <w:rPr>
                <w:rFonts w:cs="Times New Roman"/>
                <w:bCs/>
                <w:szCs w:val="28"/>
              </w:rPr>
            </w:pPr>
            <w:r w:rsidRPr="00172388">
              <w:rPr>
                <w:rFonts w:cs="Times New Roman"/>
                <w:bCs/>
                <w:szCs w:val="28"/>
              </w:rPr>
              <w:t>-</w:t>
            </w:r>
            <w:r w:rsidRPr="00D6007C">
              <w:rPr>
                <w:rFonts w:cs="Times New Roman"/>
                <w:bCs/>
                <w:szCs w:val="28"/>
              </w:rPr>
              <w:t xml:space="preserve"> Đơn đề nghị kiểm tra kiến thức pháp luật về trật tự, an toàn giao thông đường bộ (</w:t>
            </w:r>
            <w:bookmarkStart w:id="0" w:name="bieumau_ms_01_65_2024_tt_bca"/>
            <w:r w:rsidRPr="00D6007C">
              <w:rPr>
                <w:rFonts w:cs="Times New Roman"/>
                <w:bCs/>
                <w:szCs w:val="28"/>
              </w:rPr>
              <w:t>mẫu số 01</w:t>
            </w:r>
            <w:bookmarkEnd w:id="0"/>
            <w:r w:rsidRPr="00D6007C">
              <w:rPr>
                <w:rFonts w:cs="Times New Roman"/>
                <w:bCs/>
                <w:szCs w:val="28"/>
              </w:rPr>
              <w:t> Phụ lục ban hành kèm theo Thông tư số </w:t>
            </w:r>
            <w:bookmarkStart w:id="1" w:name="tvpllink_tffikqwzqe_1"/>
            <w:r w:rsidRPr="00D6007C">
              <w:rPr>
                <w:rFonts w:cs="Times New Roman"/>
                <w:bCs/>
                <w:szCs w:val="28"/>
              </w:rPr>
              <w:t>65/2024/TT-BCA</w:t>
            </w:r>
            <w:bookmarkEnd w:id="1"/>
            <w:r w:rsidRPr="00D6007C">
              <w:rPr>
                <w:rFonts w:cs="Times New Roman"/>
                <w:bCs/>
                <w:szCs w:val="28"/>
              </w:rPr>
              <w:t> ngày 12/11/2024 của Bộ trưởng Bộ Công an).</w:t>
            </w:r>
          </w:p>
          <w:p w14:paraId="7AB79185" w14:textId="016D587B" w:rsidR="00D6007C" w:rsidRPr="00172388" w:rsidRDefault="00D6007C" w:rsidP="00D6007C">
            <w:pPr>
              <w:widowControl w:val="0"/>
              <w:spacing w:before="120" w:line="360" w:lineRule="atLeast"/>
              <w:ind w:firstLine="459"/>
              <w:rPr>
                <w:rFonts w:cs="Times New Roman"/>
                <w:b/>
                <w:szCs w:val="28"/>
                <w:lang w:val="en-US"/>
              </w:rPr>
            </w:pPr>
            <w:r w:rsidRPr="00172388">
              <w:rPr>
                <w:rFonts w:cs="Times New Roman"/>
                <w:bCs/>
                <w:szCs w:val="28"/>
                <w:lang w:val="en-US"/>
              </w:rPr>
              <w:t>-</w:t>
            </w:r>
            <w:r w:rsidRPr="00D6007C">
              <w:rPr>
                <w:rFonts w:cs="Times New Roman"/>
                <w:bCs/>
                <w:szCs w:val="28"/>
              </w:rPr>
              <w:t xml:space="preserve"> Giấy khám sức khỏe của người lái xe do cơ quan y tế có thẩm quyền cấp còn giá trị sử dụng.</w:t>
            </w:r>
          </w:p>
        </w:tc>
      </w:tr>
      <w:tr w:rsidR="00D6007C" w:rsidRPr="00172388" w14:paraId="17CFE85D" w14:textId="77777777" w:rsidTr="00DD1E7E">
        <w:trPr>
          <w:trHeight w:val="502"/>
        </w:trPr>
        <w:tc>
          <w:tcPr>
            <w:tcW w:w="675" w:type="dxa"/>
            <w:vMerge w:val="restart"/>
            <w:vAlign w:val="center"/>
          </w:tcPr>
          <w:p w14:paraId="67CA185F" w14:textId="77777777" w:rsidR="00D6007C" w:rsidRPr="00172388" w:rsidRDefault="00D6007C" w:rsidP="00DD1E7E">
            <w:pPr>
              <w:jc w:val="center"/>
              <w:rPr>
                <w:rFonts w:cs="Times New Roman"/>
                <w:b/>
                <w:szCs w:val="28"/>
              </w:rPr>
            </w:pPr>
            <w:r w:rsidRPr="00172388">
              <w:rPr>
                <w:rFonts w:cs="Times New Roman"/>
                <w:b/>
                <w:szCs w:val="28"/>
              </w:rPr>
              <w:t>4</w:t>
            </w:r>
          </w:p>
        </w:tc>
        <w:tc>
          <w:tcPr>
            <w:tcW w:w="9236" w:type="dxa"/>
            <w:vAlign w:val="center"/>
          </w:tcPr>
          <w:p w14:paraId="4F15F11E" w14:textId="77777777" w:rsidR="00D6007C" w:rsidRPr="00172388" w:rsidRDefault="00D6007C" w:rsidP="00DD1E7E">
            <w:pPr>
              <w:ind w:firstLine="459"/>
              <w:rPr>
                <w:rFonts w:cs="Times New Roman"/>
                <w:b/>
                <w:szCs w:val="28"/>
              </w:rPr>
            </w:pPr>
            <w:r w:rsidRPr="00172388">
              <w:rPr>
                <w:rFonts w:cs="Times New Roman"/>
                <w:b/>
                <w:szCs w:val="28"/>
              </w:rPr>
              <w:t>Số lượng hồ sơ</w:t>
            </w:r>
          </w:p>
        </w:tc>
      </w:tr>
      <w:tr w:rsidR="00D6007C" w:rsidRPr="00172388" w14:paraId="62EE5763" w14:textId="77777777" w:rsidTr="00DD1E7E">
        <w:trPr>
          <w:trHeight w:val="359"/>
        </w:trPr>
        <w:tc>
          <w:tcPr>
            <w:tcW w:w="675" w:type="dxa"/>
            <w:vMerge/>
            <w:vAlign w:val="center"/>
          </w:tcPr>
          <w:p w14:paraId="1E11F0CF" w14:textId="77777777" w:rsidR="00D6007C" w:rsidRPr="00172388" w:rsidRDefault="00D6007C" w:rsidP="00DD1E7E">
            <w:pPr>
              <w:jc w:val="center"/>
              <w:rPr>
                <w:rFonts w:cs="Times New Roman"/>
                <w:b/>
                <w:szCs w:val="28"/>
              </w:rPr>
            </w:pPr>
          </w:p>
        </w:tc>
        <w:tc>
          <w:tcPr>
            <w:tcW w:w="9236" w:type="dxa"/>
          </w:tcPr>
          <w:p w14:paraId="314FF171" w14:textId="77777777" w:rsidR="00D6007C" w:rsidRPr="00172388" w:rsidRDefault="00D6007C" w:rsidP="00DD1E7E">
            <w:pPr>
              <w:spacing w:line="320" w:lineRule="exact"/>
              <w:ind w:firstLine="459"/>
              <w:rPr>
                <w:rFonts w:cs="Times New Roman"/>
                <w:b/>
                <w:szCs w:val="28"/>
              </w:rPr>
            </w:pPr>
            <w:r w:rsidRPr="00172388">
              <w:rPr>
                <w:rFonts w:cs="Times New Roman"/>
                <w:szCs w:val="28"/>
              </w:rPr>
              <w:t>01 (Một) bộ hồ sơ.</w:t>
            </w:r>
          </w:p>
        </w:tc>
      </w:tr>
      <w:tr w:rsidR="00D6007C" w:rsidRPr="00172388" w14:paraId="34D14D2F" w14:textId="77777777" w:rsidTr="00DD1E7E">
        <w:tc>
          <w:tcPr>
            <w:tcW w:w="675" w:type="dxa"/>
            <w:vMerge w:val="restart"/>
            <w:vAlign w:val="center"/>
          </w:tcPr>
          <w:p w14:paraId="6C9B5AE9" w14:textId="77777777" w:rsidR="00D6007C" w:rsidRPr="00172388" w:rsidRDefault="00D6007C" w:rsidP="00DD1E7E">
            <w:pPr>
              <w:jc w:val="center"/>
              <w:rPr>
                <w:rFonts w:cs="Times New Roman"/>
                <w:b/>
                <w:szCs w:val="28"/>
              </w:rPr>
            </w:pPr>
            <w:r w:rsidRPr="00172388">
              <w:rPr>
                <w:rFonts w:cs="Times New Roman"/>
                <w:b/>
                <w:szCs w:val="28"/>
              </w:rPr>
              <w:t>5</w:t>
            </w:r>
          </w:p>
        </w:tc>
        <w:tc>
          <w:tcPr>
            <w:tcW w:w="9236" w:type="dxa"/>
          </w:tcPr>
          <w:p w14:paraId="1EFB96B4" w14:textId="77777777" w:rsidR="00D6007C" w:rsidRPr="00172388" w:rsidRDefault="00D6007C" w:rsidP="00DD1E7E">
            <w:pPr>
              <w:ind w:firstLine="459"/>
              <w:rPr>
                <w:rFonts w:cs="Times New Roman"/>
                <w:b/>
                <w:szCs w:val="28"/>
              </w:rPr>
            </w:pPr>
            <w:r w:rsidRPr="00172388">
              <w:rPr>
                <w:rFonts w:cs="Times New Roman"/>
                <w:b/>
                <w:szCs w:val="28"/>
              </w:rPr>
              <w:t>Thời hạn giải quyết</w:t>
            </w:r>
          </w:p>
        </w:tc>
      </w:tr>
      <w:tr w:rsidR="00D6007C" w:rsidRPr="00172388" w14:paraId="6B41FECD" w14:textId="77777777" w:rsidTr="00DD1E7E">
        <w:trPr>
          <w:trHeight w:val="1617"/>
        </w:trPr>
        <w:tc>
          <w:tcPr>
            <w:tcW w:w="675" w:type="dxa"/>
            <w:vMerge/>
            <w:vAlign w:val="center"/>
          </w:tcPr>
          <w:p w14:paraId="5C8ADD16" w14:textId="77777777" w:rsidR="00D6007C" w:rsidRPr="00172388" w:rsidRDefault="00D6007C" w:rsidP="00DD1E7E">
            <w:pPr>
              <w:jc w:val="center"/>
              <w:rPr>
                <w:rFonts w:cs="Times New Roman"/>
                <w:b/>
                <w:szCs w:val="28"/>
              </w:rPr>
            </w:pPr>
          </w:p>
        </w:tc>
        <w:tc>
          <w:tcPr>
            <w:tcW w:w="9236" w:type="dxa"/>
          </w:tcPr>
          <w:p w14:paraId="56508D1A" w14:textId="04C10D8F" w:rsidR="00D6007C" w:rsidRPr="00172388" w:rsidRDefault="00D6007C" w:rsidP="00DD1E7E">
            <w:pPr>
              <w:spacing w:before="60" w:after="60"/>
              <w:ind w:firstLine="459"/>
              <w:textAlignment w:val="baseline"/>
              <w:rPr>
                <w:rFonts w:cs="Times New Roman"/>
                <w:szCs w:val="28"/>
                <w:lang w:val="nl-NL"/>
              </w:rPr>
            </w:pPr>
            <w:r w:rsidRPr="00172388">
              <w:rPr>
                <w:rFonts w:cs="Times New Roman"/>
                <w:szCs w:val="28"/>
              </w:rPr>
              <w:t>Trước ngày kiểm tra ít nhất 02 ngày làm việc, sau khi nhận đủ hồ sơ hợp lệ, cơ quan có thẩm quyền kiểm tra thông báo thời gian, địa điểm kiểm tra qua tin nhắn điện thoại hoặc địa chỉ thư điện tử trong đơn đề nghị của người đăng ký kiểm tra.</w:t>
            </w:r>
          </w:p>
        </w:tc>
      </w:tr>
      <w:tr w:rsidR="00D6007C" w:rsidRPr="00172388" w14:paraId="278D3E8A" w14:textId="77777777" w:rsidTr="00DD1E7E">
        <w:tc>
          <w:tcPr>
            <w:tcW w:w="675" w:type="dxa"/>
            <w:vMerge w:val="restart"/>
            <w:vAlign w:val="center"/>
          </w:tcPr>
          <w:p w14:paraId="5DD8EEF0" w14:textId="77777777" w:rsidR="00D6007C" w:rsidRPr="00172388" w:rsidRDefault="00D6007C" w:rsidP="00DD1E7E">
            <w:pPr>
              <w:jc w:val="center"/>
              <w:rPr>
                <w:rFonts w:cs="Times New Roman"/>
                <w:b/>
                <w:szCs w:val="28"/>
              </w:rPr>
            </w:pPr>
            <w:r w:rsidRPr="00172388">
              <w:rPr>
                <w:rFonts w:cs="Times New Roman"/>
                <w:b/>
                <w:szCs w:val="28"/>
              </w:rPr>
              <w:t>6</w:t>
            </w:r>
          </w:p>
        </w:tc>
        <w:tc>
          <w:tcPr>
            <w:tcW w:w="9236" w:type="dxa"/>
          </w:tcPr>
          <w:p w14:paraId="66535FC0" w14:textId="77777777" w:rsidR="00D6007C" w:rsidRPr="00172388" w:rsidRDefault="00D6007C" w:rsidP="00DD1E7E">
            <w:pPr>
              <w:ind w:firstLine="459"/>
              <w:rPr>
                <w:rFonts w:cs="Times New Roman"/>
                <w:b/>
                <w:szCs w:val="28"/>
              </w:rPr>
            </w:pPr>
            <w:r w:rsidRPr="00172388">
              <w:rPr>
                <w:rFonts w:cs="Times New Roman"/>
                <w:b/>
                <w:szCs w:val="28"/>
              </w:rPr>
              <w:t>Đối tượng thực hiện thủ tục hành chính</w:t>
            </w:r>
          </w:p>
        </w:tc>
      </w:tr>
      <w:tr w:rsidR="00D6007C" w:rsidRPr="00172388" w14:paraId="539A2EAE" w14:textId="77777777" w:rsidTr="00DD1E7E">
        <w:trPr>
          <w:trHeight w:val="653"/>
        </w:trPr>
        <w:tc>
          <w:tcPr>
            <w:tcW w:w="675" w:type="dxa"/>
            <w:vMerge/>
            <w:vAlign w:val="center"/>
          </w:tcPr>
          <w:p w14:paraId="70A4FC49" w14:textId="77777777" w:rsidR="00D6007C" w:rsidRPr="00172388" w:rsidRDefault="00D6007C" w:rsidP="00DD1E7E">
            <w:pPr>
              <w:jc w:val="center"/>
              <w:rPr>
                <w:rFonts w:cs="Times New Roman"/>
                <w:b/>
                <w:szCs w:val="28"/>
              </w:rPr>
            </w:pPr>
          </w:p>
        </w:tc>
        <w:tc>
          <w:tcPr>
            <w:tcW w:w="9236" w:type="dxa"/>
          </w:tcPr>
          <w:p w14:paraId="2237D95B" w14:textId="541424D4" w:rsidR="00D6007C" w:rsidRPr="00172388" w:rsidRDefault="00D6007C" w:rsidP="00DD1E7E">
            <w:pPr>
              <w:widowControl w:val="0"/>
              <w:spacing w:line="360" w:lineRule="exact"/>
              <w:ind w:firstLine="459"/>
              <w:rPr>
                <w:rFonts w:cs="Times New Roman"/>
                <w:szCs w:val="28"/>
              </w:rPr>
            </w:pPr>
            <w:r w:rsidRPr="00172388">
              <w:rPr>
                <w:rFonts w:cs="Times New Roman"/>
                <w:szCs w:val="28"/>
              </w:rPr>
              <w:t>Cá nhân.</w:t>
            </w:r>
          </w:p>
        </w:tc>
      </w:tr>
      <w:tr w:rsidR="00D6007C" w:rsidRPr="00172388" w14:paraId="42A345CB" w14:textId="77777777" w:rsidTr="00DD1E7E">
        <w:tc>
          <w:tcPr>
            <w:tcW w:w="675" w:type="dxa"/>
            <w:vMerge w:val="restart"/>
            <w:vAlign w:val="center"/>
          </w:tcPr>
          <w:p w14:paraId="5CFDB302" w14:textId="77777777" w:rsidR="00D6007C" w:rsidRPr="00172388" w:rsidRDefault="00D6007C" w:rsidP="00DD1E7E">
            <w:pPr>
              <w:jc w:val="center"/>
              <w:rPr>
                <w:rFonts w:cs="Times New Roman"/>
                <w:b/>
                <w:szCs w:val="28"/>
              </w:rPr>
            </w:pPr>
            <w:r w:rsidRPr="00172388">
              <w:rPr>
                <w:rFonts w:cs="Times New Roman"/>
                <w:b/>
                <w:szCs w:val="28"/>
              </w:rPr>
              <w:t>7</w:t>
            </w:r>
          </w:p>
        </w:tc>
        <w:tc>
          <w:tcPr>
            <w:tcW w:w="9236" w:type="dxa"/>
          </w:tcPr>
          <w:p w14:paraId="0BC93FDA" w14:textId="77777777" w:rsidR="00D6007C" w:rsidRPr="00172388" w:rsidRDefault="00D6007C" w:rsidP="00DD1E7E">
            <w:pPr>
              <w:spacing w:line="340" w:lineRule="exact"/>
              <w:ind w:firstLine="459"/>
              <w:rPr>
                <w:rFonts w:cs="Times New Roman"/>
                <w:b/>
                <w:szCs w:val="28"/>
              </w:rPr>
            </w:pPr>
            <w:r w:rsidRPr="00172388">
              <w:rPr>
                <w:rFonts w:cs="Times New Roman"/>
                <w:b/>
                <w:szCs w:val="28"/>
              </w:rPr>
              <w:t>Cơ quan thực hiện thủ tục hành chính</w:t>
            </w:r>
          </w:p>
        </w:tc>
      </w:tr>
      <w:tr w:rsidR="00D6007C" w:rsidRPr="00172388" w14:paraId="14D51F1D" w14:textId="77777777" w:rsidTr="00DD1E7E">
        <w:trPr>
          <w:trHeight w:val="410"/>
        </w:trPr>
        <w:tc>
          <w:tcPr>
            <w:tcW w:w="675" w:type="dxa"/>
            <w:vMerge/>
            <w:vAlign w:val="center"/>
          </w:tcPr>
          <w:p w14:paraId="0CB94E0C" w14:textId="77777777" w:rsidR="00D6007C" w:rsidRPr="00172388" w:rsidRDefault="00D6007C" w:rsidP="00DD1E7E">
            <w:pPr>
              <w:jc w:val="center"/>
              <w:rPr>
                <w:rFonts w:cs="Times New Roman"/>
                <w:b/>
                <w:szCs w:val="28"/>
              </w:rPr>
            </w:pPr>
          </w:p>
        </w:tc>
        <w:tc>
          <w:tcPr>
            <w:tcW w:w="9236" w:type="dxa"/>
          </w:tcPr>
          <w:p w14:paraId="3BF3D8E8" w14:textId="5D4C254B" w:rsidR="00D6007C" w:rsidRPr="00172388" w:rsidRDefault="00D6007C" w:rsidP="00DD1E7E">
            <w:pPr>
              <w:spacing w:line="340" w:lineRule="exact"/>
              <w:ind w:firstLine="459"/>
              <w:rPr>
                <w:rFonts w:cs="Times New Roman"/>
                <w:bCs/>
                <w:spacing w:val="-3"/>
                <w:szCs w:val="28"/>
                <w:lang w:val="en-US"/>
              </w:rPr>
            </w:pPr>
            <w:r w:rsidRPr="00172388">
              <w:rPr>
                <w:rFonts w:cs="Times New Roman"/>
                <w:bCs/>
                <w:spacing w:val="-3"/>
                <w:szCs w:val="28"/>
              </w:rPr>
              <w:t>Phòng Cảnh sát giao thông Công an tỉnh</w:t>
            </w:r>
            <w:r w:rsidRPr="00172388">
              <w:rPr>
                <w:rFonts w:cs="Times New Roman"/>
                <w:bCs/>
                <w:spacing w:val="-3"/>
                <w:szCs w:val="28"/>
                <w:lang w:val="en-US"/>
              </w:rPr>
              <w:t xml:space="preserve"> Khánh Hoà</w:t>
            </w:r>
          </w:p>
        </w:tc>
      </w:tr>
      <w:tr w:rsidR="00D6007C" w:rsidRPr="00172388" w14:paraId="72F17A89" w14:textId="77777777" w:rsidTr="00DD1E7E">
        <w:trPr>
          <w:trHeight w:val="440"/>
        </w:trPr>
        <w:tc>
          <w:tcPr>
            <w:tcW w:w="675" w:type="dxa"/>
            <w:vMerge w:val="restart"/>
            <w:vAlign w:val="center"/>
          </w:tcPr>
          <w:p w14:paraId="4F17656A" w14:textId="77777777" w:rsidR="00D6007C" w:rsidRPr="00172388" w:rsidRDefault="00D6007C" w:rsidP="00DD1E7E">
            <w:pPr>
              <w:jc w:val="center"/>
              <w:rPr>
                <w:rFonts w:cs="Times New Roman"/>
                <w:b/>
                <w:szCs w:val="28"/>
              </w:rPr>
            </w:pPr>
            <w:r w:rsidRPr="00172388">
              <w:rPr>
                <w:rFonts w:cs="Times New Roman"/>
                <w:b/>
                <w:szCs w:val="28"/>
              </w:rPr>
              <w:t>8</w:t>
            </w:r>
          </w:p>
        </w:tc>
        <w:tc>
          <w:tcPr>
            <w:tcW w:w="9236" w:type="dxa"/>
          </w:tcPr>
          <w:p w14:paraId="4F9A7118" w14:textId="77777777" w:rsidR="00D6007C" w:rsidRPr="00172388" w:rsidRDefault="00D6007C" w:rsidP="00DD1E7E">
            <w:pPr>
              <w:spacing w:line="340" w:lineRule="exact"/>
              <w:ind w:firstLine="459"/>
              <w:rPr>
                <w:rFonts w:cs="Times New Roman"/>
                <w:b/>
                <w:szCs w:val="28"/>
              </w:rPr>
            </w:pPr>
            <w:r w:rsidRPr="00172388">
              <w:rPr>
                <w:rFonts w:cs="Times New Roman"/>
                <w:b/>
                <w:szCs w:val="28"/>
              </w:rPr>
              <w:t>Kết quả thực hiện thủ tục hành chính</w:t>
            </w:r>
          </w:p>
        </w:tc>
      </w:tr>
      <w:tr w:rsidR="00D6007C" w:rsidRPr="00172388" w14:paraId="755E07C2" w14:textId="77777777" w:rsidTr="00DD1E7E">
        <w:trPr>
          <w:trHeight w:val="1062"/>
        </w:trPr>
        <w:tc>
          <w:tcPr>
            <w:tcW w:w="675" w:type="dxa"/>
            <w:vMerge/>
            <w:vAlign w:val="center"/>
          </w:tcPr>
          <w:p w14:paraId="34F6CB49" w14:textId="77777777" w:rsidR="00D6007C" w:rsidRPr="00172388" w:rsidRDefault="00D6007C" w:rsidP="00DD1E7E">
            <w:pPr>
              <w:jc w:val="center"/>
              <w:rPr>
                <w:rFonts w:cs="Times New Roman"/>
                <w:b/>
                <w:szCs w:val="28"/>
              </w:rPr>
            </w:pPr>
          </w:p>
        </w:tc>
        <w:tc>
          <w:tcPr>
            <w:tcW w:w="9236" w:type="dxa"/>
          </w:tcPr>
          <w:p w14:paraId="3A7353AE" w14:textId="25043E76" w:rsidR="00D6007C" w:rsidRPr="00172388" w:rsidRDefault="00D6007C" w:rsidP="00DD1E7E">
            <w:pPr>
              <w:widowControl w:val="0"/>
              <w:spacing w:before="120" w:line="360" w:lineRule="atLeast"/>
              <w:ind w:firstLine="459"/>
              <w:rPr>
                <w:rFonts w:cs="Times New Roman"/>
                <w:szCs w:val="28"/>
                <w:bdr w:val="none" w:sz="0" w:space="0" w:color="auto" w:frame="1"/>
                <w:lang w:eastAsia="vi-VN"/>
              </w:rPr>
            </w:pPr>
            <w:r w:rsidRPr="00172388">
              <w:rPr>
                <w:rFonts w:cs="Times New Roman"/>
                <w:szCs w:val="28"/>
                <w:bdr w:val="none" w:sz="0" w:space="0" w:color="auto" w:frame="1"/>
                <w:lang w:eastAsia="vi-VN"/>
              </w:rPr>
              <w:t>Thông báo về tính hợp lệ của hồ sơ đăng ký, địa điểm và thời gian kiểm tra kiến thức pháp luật về trật tự, an toàn giao thông đường bộ.</w:t>
            </w:r>
          </w:p>
        </w:tc>
      </w:tr>
      <w:tr w:rsidR="00D6007C" w:rsidRPr="00172388" w14:paraId="26872658" w14:textId="77777777" w:rsidTr="00DD1E7E">
        <w:tc>
          <w:tcPr>
            <w:tcW w:w="675" w:type="dxa"/>
            <w:vMerge w:val="restart"/>
            <w:vAlign w:val="center"/>
          </w:tcPr>
          <w:p w14:paraId="335C9D9B" w14:textId="77777777" w:rsidR="00D6007C" w:rsidRPr="00172388" w:rsidRDefault="00D6007C" w:rsidP="00DD1E7E">
            <w:pPr>
              <w:jc w:val="center"/>
              <w:rPr>
                <w:rFonts w:cs="Times New Roman"/>
                <w:b/>
                <w:szCs w:val="28"/>
              </w:rPr>
            </w:pPr>
            <w:r w:rsidRPr="00172388">
              <w:rPr>
                <w:rFonts w:cs="Times New Roman"/>
                <w:b/>
                <w:szCs w:val="28"/>
              </w:rPr>
              <w:lastRenderedPageBreak/>
              <w:t>9</w:t>
            </w:r>
          </w:p>
        </w:tc>
        <w:tc>
          <w:tcPr>
            <w:tcW w:w="9236" w:type="dxa"/>
          </w:tcPr>
          <w:p w14:paraId="03170E2A" w14:textId="77777777" w:rsidR="00D6007C" w:rsidRPr="00172388" w:rsidRDefault="00D6007C" w:rsidP="00DD1E7E">
            <w:pPr>
              <w:ind w:firstLine="459"/>
              <w:rPr>
                <w:rFonts w:cs="Times New Roman"/>
                <w:b/>
                <w:szCs w:val="28"/>
              </w:rPr>
            </w:pPr>
            <w:r w:rsidRPr="00172388">
              <w:rPr>
                <w:rFonts w:cs="Times New Roman"/>
                <w:b/>
                <w:szCs w:val="28"/>
              </w:rPr>
              <w:t>Phí, lệ phí</w:t>
            </w:r>
          </w:p>
        </w:tc>
      </w:tr>
      <w:tr w:rsidR="00D6007C" w:rsidRPr="00172388" w14:paraId="10779B39" w14:textId="77777777" w:rsidTr="00DD1E7E">
        <w:trPr>
          <w:trHeight w:val="369"/>
        </w:trPr>
        <w:tc>
          <w:tcPr>
            <w:tcW w:w="675" w:type="dxa"/>
            <w:vMerge/>
            <w:vAlign w:val="center"/>
          </w:tcPr>
          <w:p w14:paraId="29D6C395" w14:textId="77777777" w:rsidR="00D6007C" w:rsidRPr="00172388" w:rsidRDefault="00D6007C" w:rsidP="00DD1E7E">
            <w:pPr>
              <w:jc w:val="center"/>
              <w:rPr>
                <w:rFonts w:cs="Times New Roman"/>
                <w:b/>
                <w:szCs w:val="28"/>
              </w:rPr>
            </w:pPr>
          </w:p>
        </w:tc>
        <w:tc>
          <w:tcPr>
            <w:tcW w:w="9236" w:type="dxa"/>
          </w:tcPr>
          <w:p w14:paraId="2F19EBCB" w14:textId="75D96332" w:rsidR="00D6007C" w:rsidRPr="00172388" w:rsidRDefault="00172388" w:rsidP="00DD1E7E">
            <w:pPr>
              <w:ind w:firstLine="459"/>
              <w:rPr>
                <w:rFonts w:cs="Times New Roman"/>
                <w:iCs/>
                <w:spacing w:val="4"/>
                <w:szCs w:val="28"/>
                <w:shd w:val="clear" w:color="auto" w:fill="FFFFFF"/>
              </w:rPr>
            </w:pPr>
            <w:r w:rsidRPr="00172388">
              <w:rPr>
                <w:rFonts w:cs="Times New Roman"/>
                <w:iCs/>
                <w:spacing w:val="4"/>
                <w:szCs w:val="28"/>
                <w:shd w:val="clear" w:color="auto" w:fill="FFFFFF"/>
              </w:rPr>
              <w:t>Không.</w:t>
            </w:r>
          </w:p>
        </w:tc>
      </w:tr>
      <w:tr w:rsidR="00D6007C" w:rsidRPr="00172388" w14:paraId="3477792F" w14:textId="77777777" w:rsidTr="00DD1E7E">
        <w:tc>
          <w:tcPr>
            <w:tcW w:w="675" w:type="dxa"/>
            <w:vMerge w:val="restart"/>
            <w:vAlign w:val="center"/>
          </w:tcPr>
          <w:p w14:paraId="578A9054" w14:textId="77777777" w:rsidR="00D6007C" w:rsidRPr="00172388" w:rsidRDefault="00D6007C" w:rsidP="00DD1E7E">
            <w:pPr>
              <w:jc w:val="center"/>
              <w:rPr>
                <w:rFonts w:cs="Times New Roman"/>
                <w:b/>
                <w:szCs w:val="28"/>
              </w:rPr>
            </w:pPr>
            <w:r w:rsidRPr="00172388">
              <w:rPr>
                <w:rFonts w:cs="Times New Roman"/>
                <w:b/>
                <w:szCs w:val="28"/>
              </w:rPr>
              <w:t>10</w:t>
            </w:r>
          </w:p>
        </w:tc>
        <w:tc>
          <w:tcPr>
            <w:tcW w:w="9236" w:type="dxa"/>
          </w:tcPr>
          <w:p w14:paraId="79CFD050" w14:textId="77777777" w:rsidR="00D6007C" w:rsidRPr="00172388" w:rsidRDefault="00D6007C" w:rsidP="00DD1E7E">
            <w:pPr>
              <w:ind w:firstLine="459"/>
              <w:rPr>
                <w:rFonts w:cs="Times New Roman"/>
                <w:b/>
                <w:szCs w:val="28"/>
              </w:rPr>
            </w:pPr>
            <w:r w:rsidRPr="00172388">
              <w:rPr>
                <w:rFonts w:cs="Times New Roman"/>
                <w:b/>
                <w:szCs w:val="28"/>
              </w:rPr>
              <w:t>Tên mẫu đơn, mẫu tờ khai</w:t>
            </w:r>
          </w:p>
        </w:tc>
      </w:tr>
      <w:tr w:rsidR="00D6007C" w:rsidRPr="00172388" w14:paraId="4D2FD886" w14:textId="77777777" w:rsidTr="00DD1E7E">
        <w:tc>
          <w:tcPr>
            <w:tcW w:w="675" w:type="dxa"/>
            <w:vMerge/>
            <w:vAlign w:val="center"/>
          </w:tcPr>
          <w:p w14:paraId="6670DE1B" w14:textId="77777777" w:rsidR="00D6007C" w:rsidRPr="00172388" w:rsidRDefault="00D6007C" w:rsidP="00DD1E7E">
            <w:pPr>
              <w:jc w:val="center"/>
              <w:rPr>
                <w:rFonts w:cs="Times New Roman"/>
                <w:b/>
                <w:szCs w:val="28"/>
              </w:rPr>
            </w:pPr>
          </w:p>
        </w:tc>
        <w:tc>
          <w:tcPr>
            <w:tcW w:w="9236" w:type="dxa"/>
          </w:tcPr>
          <w:p w14:paraId="5C4E917A" w14:textId="574C7D50" w:rsidR="00D6007C" w:rsidRPr="00172388" w:rsidRDefault="00172388" w:rsidP="00DD1E7E">
            <w:pPr>
              <w:widowControl w:val="0"/>
              <w:spacing w:before="120" w:line="300" w:lineRule="atLeast"/>
              <w:ind w:firstLine="459"/>
              <w:rPr>
                <w:rFonts w:cs="Times New Roman"/>
                <w:bCs/>
                <w:szCs w:val="28"/>
                <w:lang w:val="nl-NL"/>
              </w:rPr>
            </w:pPr>
            <w:r w:rsidRPr="00172388">
              <w:rPr>
                <w:rFonts w:cs="Times New Roman"/>
                <w:bCs/>
                <w:szCs w:val="28"/>
              </w:rPr>
              <w:t>Đơn đề nghị kiểm tra kiến thức pháp luật về trật tự, an toàn giao thông đường bộ (</w:t>
            </w:r>
            <w:bookmarkStart w:id="2" w:name="bieumau_ms_01_65_2024_tt_bca_1"/>
            <w:r w:rsidRPr="00172388">
              <w:rPr>
                <w:rFonts w:cs="Times New Roman"/>
                <w:bCs/>
                <w:szCs w:val="28"/>
              </w:rPr>
              <w:t>mẫu số 01</w:t>
            </w:r>
            <w:bookmarkEnd w:id="2"/>
            <w:r w:rsidRPr="00172388">
              <w:rPr>
                <w:rFonts w:cs="Times New Roman"/>
                <w:bCs/>
                <w:szCs w:val="28"/>
              </w:rPr>
              <w:t> Phụ lục ban hành kèm theo Thông tư số </w:t>
            </w:r>
            <w:bookmarkStart w:id="3" w:name="tvpllink_tffikqwzqe_2"/>
            <w:r w:rsidRPr="00172388">
              <w:rPr>
                <w:rFonts w:cs="Times New Roman"/>
                <w:bCs/>
                <w:szCs w:val="28"/>
              </w:rPr>
              <w:t>65/2024/TT-BCA</w:t>
            </w:r>
            <w:bookmarkEnd w:id="3"/>
            <w:r w:rsidRPr="00172388">
              <w:rPr>
                <w:rFonts w:cs="Times New Roman"/>
                <w:bCs/>
                <w:szCs w:val="28"/>
              </w:rPr>
              <w:t> ngày 12/11/2024 của Bộ trưởng Bộ Công an).</w:t>
            </w:r>
          </w:p>
        </w:tc>
      </w:tr>
      <w:tr w:rsidR="00D6007C" w:rsidRPr="00172388" w14:paraId="790278BE" w14:textId="77777777" w:rsidTr="00DD1E7E">
        <w:trPr>
          <w:trHeight w:val="489"/>
        </w:trPr>
        <w:tc>
          <w:tcPr>
            <w:tcW w:w="675" w:type="dxa"/>
            <w:vMerge w:val="restart"/>
            <w:vAlign w:val="center"/>
          </w:tcPr>
          <w:p w14:paraId="3F927967" w14:textId="77777777" w:rsidR="00D6007C" w:rsidRPr="00172388" w:rsidRDefault="00D6007C" w:rsidP="00DD1E7E">
            <w:pPr>
              <w:jc w:val="center"/>
              <w:rPr>
                <w:rFonts w:cs="Times New Roman"/>
                <w:b/>
                <w:szCs w:val="28"/>
              </w:rPr>
            </w:pPr>
            <w:r w:rsidRPr="00172388">
              <w:rPr>
                <w:rFonts w:cs="Times New Roman"/>
                <w:b/>
                <w:szCs w:val="28"/>
              </w:rPr>
              <w:t>11</w:t>
            </w:r>
          </w:p>
        </w:tc>
        <w:tc>
          <w:tcPr>
            <w:tcW w:w="9236" w:type="dxa"/>
            <w:vAlign w:val="center"/>
          </w:tcPr>
          <w:p w14:paraId="71482D65" w14:textId="77777777" w:rsidR="00D6007C" w:rsidRPr="00172388" w:rsidRDefault="00D6007C" w:rsidP="00DD1E7E">
            <w:pPr>
              <w:ind w:firstLine="459"/>
              <w:rPr>
                <w:rFonts w:cs="Times New Roman"/>
                <w:b/>
                <w:szCs w:val="28"/>
                <w:lang w:val="nl-NL"/>
              </w:rPr>
            </w:pPr>
            <w:r w:rsidRPr="00172388">
              <w:rPr>
                <w:rFonts w:cs="Times New Roman"/>
                <w:b/>
                <w:szCs w:val="28"/>
                <w:lang w:val="nl-NL"/>
              </w:rPr>
              <w:t>Yêu cầu, điều kiện thực hiện thủ tục hành chính</w:t>
            </w:r>
          </w:p>
        </w:tc>
      </w:tr>
      <w:tr w:rsidR="00D6007C" w:rsidRPr="00172388" w14:paraId="6187B064" w14:textId="77777777" w:rsidTr="00DD1E7E">
        <w:trPr>
          <w:trHeight w:val="416"/>
        </w:trPr>
        <w:tc>
          <w:tcPr>
            <w:tcW w:w="675" w:type="dxa"/>
            <w:vMerge/>
            <w:vAlign w:val="center"/>
          </w:tcPr>
          <w:p w14:paraId="6EDF175E" w14:textId="77777777" w:rsidR="00D6007C" w:rsidRPr="00172388" w:rsidRDefault="00D6007C" w:rsidP="00DD1E7E">
            <w:pPr>
              <w:jc w:val="center"/>
              <w:rPr>
                <w:rFonts w:cs="Times New Roman"/>
                <w:b/>
                <w:szCs w:val="28"/>
              </w:rPr>
            </w:pPr>
          </w:p>
        </w:tc>
        <w:tc>
          <w:tcPr>
            <w:tcW w:w="9236" w:type="dxa"/>
          </w:tcPr>
          <w:p w14:paraId="73B123E7" w14:textId="77777777" w:rsidR="00172388" w:rsidRPr="00172388" w:rsidRDefault="00172388" w:rsidP="00172388">
            <w:pPr>
              <w:ind w:firstLine="459"/>
              <w:rPr>
                <w:rFonts w:cs="Times New Roman"/>
                <w:szCs w:val="28"/>
              </w:rPr>
            </w:pPr>
            <w:r w:rsidRPr="00172388">
              <w:rPr>
                <w:rFonts w:cs="Times New Roman"/>
                <w:szCs w:val="28"/>
              </w:rPr>
              <w:t>Người đăng ký kiểm tra có giấy phép lái xe bị trừ hết điểm sau thời hạn ít nhất 6 tháng (kể từ ngày bị trừ hết điểm).</w:t>
            </w:r>
          </w:p>
          <w:p w14:paraId="6DBB4E13" w14:textId="77777777" w:rsidR="00172388" w:rsidRPr="00172388" w:rsidRDefault="00172388" w:rsidP="00172388">
            <w:pPr>
              <w:ind w:firstLine="459"/>
              <w:rPr>
                <w:rFonts w:cs="Times New Roman"/>
                <w:szCs w:val="28"/>
              </w:rPr>
            </w:pPr>
            <w:r w:rsidRPr="00172388">
              <w:rPr>
                <w:rFonts w:cs="Times New Roman"/>
                <w:b/>
                <w:bCs/>
                <w:i/>
                <w:iCs/>
                <w:szCs w:val="28"/>
              </w:rPr>
              <w:t> Lưu ý:</w:t>
            </w:r>
          </w:p>
          <w:p w14:paraId="7F906535" w14:textId="48CF477D" w:rsidR="00D6007C" w:rsidRPr="00172388" w:rsidRDefault="00172388" w:rsidP="00172388">
            <w:pPr>
              <w:ind w:firstLine="459"/>
              <w:rPr>
                <w:rFonts w:cs="Times New Roman"/>
                <w:szCs w:val="28"/>
                <w:lang w:val="en-US"/>
              </w:rPr>
            </w:pPr>
            <w:r w:rsidRPr="00172388">
              <w:rPr>
                <w:rFonts w:cs="Times New Roman"/>
                <w:szCs w:val="28"/>
              </w:rPr>
              <w:t>Đối với trường hợp thực hiện thủ tục hành chính trên Cổng dịch vụ công quốc gia, Cổng dịch vụ công Bộ Công an, Ứng dụng định danh quốc gia thì người thực hiện thủ tục phải có tài khoản định danh mức độ 2.</w:t>
            </w:r>
          </w:p>
        </w:tc>
      </w:tr>
      <w:tr w:rsidR="00D6007C" w:rsidRPr="00172388" w14:paraId="6AE67F7D" w14:textId="77777777" w:rsidTr="00DD1E7E">
        <w:tc>
          <w:tcPr>
            <w:tcW w:w="675" w:type="dxa"/>
            <w:vMerge w:val="restart"/>
            <w:vAlign w:val="center"/>
          </w:tcPr>
          <w:p w14:paraId="2D86DC33" w14:textId="77777777" w:rsidR="00D6007C" w:rsidRPr="00172388" w:rsidRDefault="00D6007C" w:rsidP="00DD1E7E">
            <w:pPr>
              <w:jc w:val="center"/>
              <w:rPr>
                <w:rFonts w:cs="Times New Roman"/>
                <w:b/>
                <w:szCs w:val="28"/>
              </w:rPr>
            </w:pPr>
            <w:r w:rsidRPr="00172388">
              <w:rPr>
                <w:rFonts w:cs="Times New Roman"/>
                <w:b/>
                <w:szCs w:val="28"/>
              </w:rPr>
              <w:t>12</w:t>
            </w:r>
          </w:p>
        </w:tc>
        <w:tc>
          <w:tcPr>
            <w:tcW w:w="9236" w:type="dxa"/>
          </w:tcPr>
          <w:p w14:paraId="29BA4B46" w14:textId="77777777" w:rsidR="00D6007C" w:rsidRPr="00172388" w:rsidRDefault="00D6007C" w:rsidP="00DD1E7E">
            <w:pPr>
              <w:ind w:firstLine="459"/>
              <w:rPr>
                <w:rFonts w:cs="Times New Roman"/>
                <w:b/>
                <w:szCs w:val="28"/>
              </w:rPr>
            </w:pPr>
            <w:r w:rsidRPr="00172388">
              <w:rPr>
                <w:rFonts w:cs="Times New Roman"/>
                <w:b/>
                <w:szCs w:val="28"/>
              </w:rPr>
              <w:t>Căn cứ pháp lý của thủ tục hành chính</w:t>
            </w:r>
          </w:p>
        </w:tc>
      </w:tr>
      <w:tr w:rsidR="00D6007C" w:rsidRPr="00172388" w14:paraId="68E644C4" w14:textId="77777777" w:rsidTr="00DD1E7E">
        <w:tc>
          <w:tcPr>
            <w:tcW w:w="675" w:type="dxa"/>
            <w:vMerge/>
          </w:tcPr>
          <w:p w14:paraId="27B5CE0E" w14:textId="77777777" w:rsidR="00D6007C" w:rsidRPr="00172388" w:rsidRDefault="00D6007C" w:rsidP="00DD1E7E">
            <w:pPr>
              <w:jc w:val="center"/>
              <w:rPr>
                <w:rFonts w:cs="Times New Roman"/>
                <w:b/>
                <w:szCs w:val="28"/>
              </w:rPr>
            </w:pPr>
          </w:p>
        </w:tc>
        <w:tc>
          <w:tcPr>
            <w:tcW w:w="9236" w:type="dxa"/>
          </w:tcPr>
          <w:p w14:paraId="0509C13A" w14:textId="73B942DD" w:rsidR="00172388" w:rsidRPr="00172388" w:rsidRDefault="00172388" w:rsidP="00172388">
            <w:pPr>
              <w:ind w:firstLine="459"/>
              <w:rPr>
                <w:rFonts w:cs="Times New Roman"/>
                <w:szCs w:val="28"/>
              </w:rPr>
            </w:pPr>
            <w:r w:rsidRPr="00172388">
              <w:rPr>
                <w:rFonts w:cs="Times New Roman"/>
                <w:szCs w:val="28"/>
              </w:rPr>
              <w:t>- </w:t>
            </w:r>
            <w:bookmarkStart w:id="4" w:name="tvpllink_aebadsyxvg"/>
            <w:r w:rsidRPr="00172388">
              <w:rPr>
                <w:rFonts w:cs="Times New Roman"/>
                <w:szCs w:val="28"/>
              </w:rPr>
              <w:t>Luật Trật tự, an toàn Giao thông đường bộ</w:t>
            </w:r>
            <w:bookmarkEnd w:id="4"/>
            <w:r w:rsidRPr="00172388">
              <w:rPr>
                <w:rFonts w:cs="Times New Roman"/>
                <w:szCs w:val="28"/>
              </w:rPr>
              <w:t> (Luật số </w:t>
            </w:r>
            <w:bookmarkStart w:id="5" w:name="tvpllink_aebadsyxvg_1"/>
            <w:r w:rsidRPr="00172388">
              <w:rPr>
                <w:rFonts w:cs="Times New Roman"/>
                <w:szCs w:val="28"/>
              </w:rPr>
              <w:t>36/2024/QH15</w:t>
            </w:r>
            <w:bookmarkEnd w:id="5"/>
            <w:r w:rsidRPr="00172388">
              <w:rPr>
                <w:rFonts w:cs="Times New Roman"/>
                <w:szCs w:val="28"/>
              </w:rPr>
              <w:t>, ngày 27/06/2024);</w:t>
            </w:r>
          </w:p>
          <w:p w14:paraId="603EEBBB" w14:textId="2F6174C0" w:rsidR="00D6007C" w:rsidRPr="00172388" w:rsidRDefault="00172388" w:rsidP="00172388">
            <w:pPr>
              <w:ind w:firstLine="459"/>
              <w:rPr>
                <w:rFonts w:cs="Times New Roman"/>
                <w:szCs w:val="28"/>
                <w:lang w:val="en-US"/>
              </w:rPr>
            </w:pPr>
            <w:r w:rsidRPr="00172388">
              <w:rPr>
                <w:rFonts w:cs="Times New Roman"/>
                <w:szCs w:val="28"/>
              </w:rPr>
              <w:t>- Thông tư số </w:t>
            </w:r>
            <w:bookmarkStart w:id="6" w:name="tvpllink_tffikqwzqe_3"/>
            <w:r w:rsidRPr="00172388">
              <w:rPr>
                <w:rFonts w:cs="Times New Roman"/>
                <w:szCs w:val="28"/>
              </w:rPr>
              <w:t>65/2024/TT-BCA</w:t>
            </w:r>
            <w:bookmarkEnd w:id="6"/>
            <w:r w:rsidRPr="00172388">
              <w:rPr>
                <w:rFonts w:cs="Times New Roman"/>
                <w:szCs w:val="28"/>
              </w:rPr>
              <w:t> ngày 12/11/2024 của Bộ Công an quy định kiểm tra kiến thức pháp luật về trật tự, an toàn giao thông đường bộ để được phục hồi điểm giấy phép lái xe.</w:t>
            </w:r>
          </w:p>
        </w:tc>
      </w:tr>
    </w:tbl>
    <w:p w14:paraId="5E191C9D" w14:textId="77777777" w:rsidR="008636D2" w:rsidRDefault="008636D2" w:rsidP="00D6007C">
      <w:pPr>
        <w:jc w:val="center"/>
      </w:pPr>
    </w:p>
    <w:sectPr w:rsidR="008636D2" w:rsidSect="00846465">
      <w:pgSz w:w="11906" w:h="16838" w:code="9"/>
      <w:pgMar w:top="1134" w:right="1134"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7C"/>
    <w:rsid w:val="00086F3C"/>
    <w:rsid w:val="001104AD"/>
    <w:rsid w:val="00172388"/>
    <w:rsid w:val="001749B2"/>
    <w:rsid w:val="00294AB0"/>
    <w:rsid w:val="008313A8"/>
    <w:rsid w:val="00846465"/>
    <w:rsid w:val="008636D2"/>
    <w:rsid w:val="00A933CE"/>
    <w:rsid w:val="00B43C71"/>
    <w:rsid w:val="00D6007C"/>
    <w:rsid w:val="00F7483D"/>
    <w:rsid w:val="00FA42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034C"/>
  <w15:chartTrackingRefBased/>
  <w15:docId w15:val="{B48ACBB1-026E-4C7E-8E98-1326CBC9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0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0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07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600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00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00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00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00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00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0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07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600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600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600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00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00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00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0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07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6007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6007C"/>
    <w:pPr>
      <w:spacing w:before="160"/>
      <w:jc w:val="center"/>
    </w:pPr>
    <w:rPr>
      <w:i/>
      <w:iCs/>
      <w:color w:val="404040" w:themeColor="text1" w:themeTint="BF"/>
    </w:rPr>
  </w:style>
  <w:style w:type="character" w:customStyle="1" w:styleId="QuoteChar">
    <w:name w:val="Quote Char"/>
    <w:basedOn w:val="DefaultParagraphFont"/>
    <w:link w:val="Quote"/>
    <w:uiPriority w:val="29"/>
    <w:rsid w:val="00D6007C"/>
    <w:rPr>
      <w:i/>
      <w:iCs/>
      <w:color w:val="404040" w:themeColor="text1" w:themeTint="BF"/>
    </w:rPr>
  </w:style>
  <w:style w:type="paragraph" w:styleId="ListParagraph">
    <w:name w:val="List Paragraph"/>
    <w:basedOn w:val="Normal"/>
    <w:uiPriority w:val="34"/>
    <w:qFormat/>
    <w:rsid w:val="00D6007C"/>
    <w:pPr>
      <w:ind w:left="720"/>
      <w:contextualSpacing/>
    </w:pPr>
  </w:style>
  <w:style w:type="character" w:styleId="IntenseEmphasis">
    <w:name w:val="Intense Emphasis"/>
    <w:basedOn w:val="DefaultParagraphFont"/>
    <w:uiPriority w:val="21"/>
    <w:qFormat/>
    <w:rsid w:val="00D6007C"/>
    <w:rPr>
      <w:i/>
      <w:iCs/>
      <w:color w:val="2F5496" w:themeColor="accent1" w:themeShade="BF"/>
    </w:rPr>
  </w:style>
  <w:style w:type="paragraph" w:styleId="IntenseQuote">
    <w:name w:val="Intense Quote"/>
    <w:basedOn w:val="Normal"/>
    <w:next w:val="Normal"/>
    <w:link w:val="IntenseQuoteChar"/>
    <w:uiPriority w:val="30"/>
    <w:qFormat/>
    <w:rsid w:val="00D60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07C"/>
    <w:rPr>
      <w:i/>
      <w:iCs/>
      <w:color w:val="2F5496" w:themeColor="accent1" w:themeShade="BF"/>
    </w:rPr>
  </w:style>
  <w:style w:type="character" w:styleId="IntenseReference">
    <w:name w:val="Intense Reference"/>
    <w:basedOn w:val="DefaultParagraphFont"/>
    <w:uiPriority w:val="32"/>
    <w:qFormat/>
    <w:rsid w:val="00D6007C"/>
    <w:rPr>
      <w:b/>
      <w:bCs/>
      <w:smallCaps/>
      <w:color w:val="2F5496" w:themeColor="accent1" w:themeShade="BF"/>
      <w:spacing w:val="5"/>
    </w:rPr>
  </w:style>
  <w:style w:type="character" w:styleId="Hyperlink">
    <w:name w:val="Hyperlink"/>
    <w:basedOn w:val="DefaultParagraphFont"/>
    <w:uiPriority w:val="99"/>
    <w:unhideWhenUsed/>
    <w:rsid w:val="00D6007C"/>
    <w:rPr>
      <w:color w:val="0563C1" w:themeColor="hyperlink"/>
      <w:u w:val="single"/>
    </w:rPr>
  </w:style>
  <w:style w:type="character" w:styleId="UnresolvedMention">
    <w:name w:val="Unresolved Mention"/>
    <w:basedOn w:val="DefaultParagraphFont"/>
    <w:uiPriority w:val="99"/>
    <w:semiHidden/>
    <w:unhideWhenUsed/>
    <w:rsid w:val="00D60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2025-09-07T15:08:00Z</dcterms:created>
  <dcterms:modified xsi:type="dcterms:W3CDTF">2025-09-07T15:13:00Z</dcterms:modified>
</cp:coreProperties>
</file>